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BD703C" w:rsidRPr="00D60380">
        <w:rPr>
          <w:noProof w:val="0"/>
          <w:sz w:val="24"/>
          <w:szCs w:val="24"/>
          <w:lang w:val="en-US"/>
        </w:rPr>
        <w:t>#</w:t>
      </w:r>
      <w:r w:rsidR="000E4942">
        <w:rPr>
          <w:noProof w:val="0"/>
          <w:sz w:val="24"/>
          <w:szCs w:val="24"/>
          <w:lang w:val="en-US"/>
        </w:rPr>
        <w:t>79</w:t>
      </w:r>
      <w:r w:rsidRPr="00D60380">
        <w:rPr>
          <w:bCs/>
          <w:noProof w:val="0"/>
          <w:sz w:val="24"/>
          <w:szCs w:val="24"/>
          <w:lang w:val="en-US"/>
        </w:rPr>
        <w:tab/>
      </w:r>
      <w:r w:rsidRPr="00D60380">
        <w:rPr>
          <w:rFonts w:hint="eastAsia"/>
          <w:bCs/>
          <w:noProof w:val="0"/>
          <w:sz w:val="24"/>
          <w:szCs w:val="24"/>
          <w:lang w:val="en-US"/>
        </w:rPr>
        <w:t>R</w:t>
      </w:r>
      <w:r w:rsidR="00021324">
        <w:rPr>
          <w:bCs/>
          <w:noProof w:val="0"/>
          <w:sz w:val="24"/>
          <w:szCs w:val="24"/>
          <w:lang w:val="en-US"/>
        </w:rPr>
        <w:t>P</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874E10">
        <w:rPr>
          <w:bCs/>
          <w:noProof w:val="0"/>
          <w:sz w:val="24"/>
          <w:szCs w:val="24"/>
          <w:lang w:val="en-US"/>
        </w:rPr>
        <w:t>0</w:t>
      </w:r>
      <w:r w:rsidR="009F1E36">
        <w:rPr>
          <w:bCs/>
          <w:noProof w:val="0"/>
          <w:sz w:val="24"/>
          <w:szCs w:val="24"/>
          <w:lang w:val="en-US"/>
        </w:rPr>
        <w:t>495</w:t>
      </w:r>
    </w:p>
    <w:p w:rsidR="00CD4C7B" w:rsidRPr="00BD703C" w:rsidRDefault="00973F77" w:rsidP="00CD4C7B">
      <w:pPr>
        <w:pStyle w:val="Header"/>
        <w:tabs>
          <w:tab w:val="right" w:pos="9639"/>
        </w:tabs>
        <w:rPr>
          <w:bCs/>
          <w:noProof w:val="0"/>
          <w:sz w:val="24"/>
          <w:szCs w:val="24"/>
          <w:lang w:val="en-US"/>
        </w:rPr>
      </w:pPr>
      <w:r>
        <w:rPr>
          <w:rFonts w:eastAsia="SimSun"/>
          <w:noProof w:val="0"/>
          <w:sz w:val="24"/>
          <w:szCs w:val="24"/>
          <w:lang w:val="en-US" w:eastAsia="zh-CN"/>
        </w:rPr>
        <w:t>Chennai</w:t>
      </w:r>
      <w:r w:rsidR="00C24650" w:rsidRPr="00BD703C">
        <w:rPr>
          <w:rFonts w:eastAsia="SimSun"/>
          <w:noProof w:val="0"/>
          <w:sz w:val="24"/>
          <w:szCs w:val="24"/>
          <w:lang w:val="en-US" w:eastAsia="zh-CN"/>
        </w:rPr>
        <w:t xml:space="preserve">, </w:t>
      </w:r>
      <w:r>
        <w:rPr>
          <w:rFonts w:eastAsia="SimSun"/>
          <w:noProof w:val="0"/>
          <w:sz w:val="24"/>
          <w:szCs w:val="24"/>
          <w:lang w:val="en-US" w:eastAsia="zh-CN"/>
        </w:rPr>
        <w:t>India</w:t>
      </w:r>
      <w:r w:rsidR="00C24650" w:rsidRPr="00BD703C">
        <w:rPr>
          <w:rFonts w:eastAsia="SimSun"/>
          <w:noProof w:val="0"/>
          <w:sz w:val="24"/>
          <w:szCs w:val="24"/>
          <w:lang w:val="en-US" w:eastAsia="zh-CN"/>
        </w:rPr>
        <w:t xml:space="preserve">, </w:t>
      </w:r>
      <w:r>
        <w:rPr>
          <w:rFonts w:eastAsia="SimSun"/>
          <w:noProof w:val="0"/>
          <w:sz w:val="24"/>
          <w:szCs w:val="24"/>
          <w:lang w:val="en-US" w:eastAsia="zh-CN"/>
        </w:rPr>
        <w:t>19</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22</w:t>
      </w:r>
      <w:r w:rsidR="00D60380">
        <w:rPr>
          <w:rFonts w:eastAsia="SimSun"/>
          <w:noProof w:val="0"/>
          <w:sz w:val="24"/>
          <w:szCs w:val="24"/>
          <w:lang w:val="en-US" w:eastAsia="zh-CN"/>
        </w:rPr>
        <w:t xml:space="preserve"> </w:t>
      </w:r>
      <w:r w:rsidR="00062706">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CF3CF9">
        <w:rPr>
          <w:rFonts w:cs="Arial"/>
          <w:b/>
          <w:bCs/>
          <w:sz w:val="24"/>
          <w:lang w:val="en-US" w:eastAsia="ja-JP"/>
        </w:rPr>
        <w:t>9.2.1.1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1" w:name="_Hlk508963390"/>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874E10">
        <w:rPr>
          <w:rFonts w:ascii="Arial" w:hAnsi="Arial" w:cs="Arial"/>
          <w:b/>
          <w:bCs/>
          <w:sz w:val="24"/>
        </w:rPr>
        <w:t xml:space="preserve">, </w:t>
      </w:r>
      <w:r w:rsidR="00DE04CB">
        <w:rPr>
          <w:rFonts w:ascii="Arial" w:hAnsi="Arial" w:cs="Arial"/>
          <w:b/>
          <w:bCs/>
          <w:sz w:val="24"/>
        </w:rPr>
        <w:t xml:space="preserve">SoftBank, </w:t>
      </w:r>
      <w:r w:rsidR="00874E10">
        <w:rPr>
          <w:rFonts w:ascii="Arial" w:hAnsi="Arial" w:cs="Arial"/>
          <w:b/>
          <w:bCs/>
          <w:sz w:val="24"/>
        </w:rPr>
        <w:t>Samsung</w:t>
      </w:r>
      <w:bookmarkEnd w:id="1"/>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73F77">
        <w:rPr>
          <w:rFonts w:ascii="Arial" w:hAnsi="Arial" w:cs="Arial"/>
          <w:b/>
          <w:bCs/>
          <w:sz w:val="24"/>
        </w:rPr>
        <w:t xml:space="preserve">Discussion on </w:t>
      </w:r>
      <w:r w:rsidR="00E20732">
        <w:rPr>
          <w:rFonts w:ascii="Arial" w:hAnsi="Arial" w:cs="Arial"/>
          <w:b/>
          <w:bCs/>
          <w:sz w:val="24"/>
        </w:rPr>
        <w:t>securing SRBs with no DRBs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E20732" w:rsidRDefault="008310EA" w:rsidP="00E55243">
      <w:r>
        <w:t>This paper proposes</w:t>
      </w:r>
      <w:r w:rsidR="00E20732">
        <w:t xml:space="preserve"> to modify the F1 context setup procedure before the </w:t>
      </w:r>
      <w:r w:rsidR="00973F77">
        <w:t>ASN.1</w:t>
      </w:r>
      <w:r w:rsidR="00E20732">
        <w:t xml:space="preserve"> freeze for NSA EN</w:t>
      </w:r>
      <w:r w:rsidR="00161C05">
        <w:t>-</w:t>
      </w:r>
      <w:r w:rsidR="00E20732">
        <w:t>DC to enable forward compatibility for SA mode.</w:t>
      </w:r>
    </w:p>
    <w:p w:rsidR="007268EF" w:rsidRDefault="007268EF" w:rsidP="00CD4C7B"/>
    <w:p w:rsidR="00605C1D" w:rsidRPr="006E13D1" w:rsidRDefault="00605C1D" w:rsidP="00605C1D">
      <w:pPr>
        <w:pStyle w:val="Heading1"/>
      </w:pPr>
      <w:r>
        <w:t>2</w:t>
      </w:r>
      <w:r w:rsidRPr="006E13D1">
        <w:tab/>
      </w:r>
      <w:r>
        <w:t>Description</w:t>
      </w:r>
    </w:p>
    <w:p w:rsidR="00E30441" w:rsidRDefault="00E30441" w:rsidP="00E30441">
      <w:r>
        <w:t xml:space="preserve">Whenever an AS security context is setup in a gNB in CU/DU split configuration, the F1AP UE Context </w:t>
      </w:r>
      <w:r w:rsidR="00164937">
        <w:t>S</w:t>
      </w:r>
      <w:r>
        <w:t xml:space="preserve">etup procedure must be used by the gNB-CU to retrieve the lower </w:t>
      </w:r>
      <w:r w:rsidR="00164937">
        <w:t xml:space="preserve">layer </w:t>
      </w:r>
      <w:r>
        <w:t xml:space="preserve">configuration from the gNB-DU. This is an F1AP class 1 procedure comprising a request message including both list of SRBs and list of DRBs </w:t>
      </w:r>
      <w:r w:rsidR="00164937">
        <w:t>as</w:t>
      </w:r>
      <w:r>
        <w:t xml:space="preserve"> mandatory </w:t>
      </w:r>
      <w:r w:rsidR="00164937">
        <w:t>IEs</w:t>
      </w:r>
      <w:r w:rsidRPr="00C508F6">
        <w:t xml:space="preserve"> </w:t>
      </w:r>
      <w:r>
        <w:t>followed by the response message including the desired gNB-DU configuration.</w:t>
      </w:r>
    </w:p>
    <w:p w:rsidR="00E30441" w:rsidRDefault="00E30441" w:rsidP="00E30441">
      <w:r>
        <w:t xml:space="preserve">This does not impact EN-DC because the use case of offloading </w:t>
      </w:r>
      <w:r w:rsidR="00164937">
        <w:t xml:space="preserve">only </w:t>
      </w:r>
      <w:r>
        <w:t>SRBs to the secondary node gNB-CU (without DRBs) is not envisioned. However, for the SA mode it is required to secure signalling connection as specified in SA2 specifications (TS 23.501 and TS 23.502). As shown in the Annex, securing the AS during the registration phase</w:t>
      </w:r>
      <w:r w:rsidR="00164937">
        <w:t xml:space="preserve"> and</w:t>
      </w:r>
      <w:r>
        <w:t xml:space="preserve"> enabling secured redirections are required scenarios and some others are likely to come in next releases related to handling IOT UEs, connectionless modes or V2X applications using side link resources.</w:t>
      </w:r>
    </w:p>
    <w:p w:rsidR="00021324" w:rsidRDefault="00021324" w:rsidP="00021324">
      <w:r>
        <w:t xml:space="preserve">It should be noted that SA3 has just sent questions about these scenarios and we expect SA2 to clarify them as per the annex. </w:t>
      </w:r>
      <w:r w:rsidR="00164937">
        <w:t>The</w:t>
      </w:r>
      <w:r>
        <w:t xml:space="preserve"> SA3 LS </w:t>
      </w:r>
      <w:r w:rsidR="00164937">
        <w:t xml:space="preserve">should not be interpreted </w:t>
      </w:r>
      <w:r>
        <w:t>as challenging SA2 work. Furthermore, SA2 specifications require support for “signalling only connection” and this is the default mode supported as 5GS Registration procedure does not support piggy backing of PDU session request to establish user plane connections. Also, SA3 would have to eventually support the scenario of securing signalling only connections in SA mode for the following reasons:</w:t>
      </w:r>
    </w:p>
    <w:p w:rsidR="00021324" w:rsidRPr="009371B6" w:rsidRDefault="00021324" w:rsidP="00021324">
      <w:pPr>
        <w:pStyle w:val="ListParagraph"/>
        <w:numPr>
          <w:ilvl w:val="0"/>
          <w:numId w:val="13"/>
        </w:numPr>
        <w:rPr>
          <w:b/>
          <w:u w:val="single"/>
          <w:lang w:val="en-US"/>
        </w:rPr>
      </w:pPr>
      <w:r w:rsidRPr="009371B6">
        <w:rPr>
          <w:b/>
          <w:u w:val="single"/>
          <w:lang w:val="en-US"/>
        </w:rPr>
        <w:t>Redirection scenario</w:t>
      </w:r>
    </w:p>
    <w:p w:rsidR="00021324" w:rsidRDefault="00021324" w:rsidP="00021324">
      <w:pPr>
        <w:rPr>
          <w:noProof/>
          <w:lang w:val="en-US"/>
        </w:rPr>
      </w:pPr>
      <w:r>
        <w:rPr>
          <w:noProof/>
          <w:lang w:val="en-US"/>
        </w:rPr>
        <w:t xml:space="preserve">Not ciphering and integrity protecting </w:t>
      </w:r>
      <w:r w:rsidRPr="00E30441">
        <w:rPr>
          <w:i/>
          <w:noProof/>
          <w:lang w:val="en-US"/>
        </w:rPr>
        <w:t>RRCConnectionRelease</w:t>
      </w:r>
      <w:r w:rsidRPr="00787FA9">
        <w:rPr>
          <w:noProof/>
          <w:lang w:val="en-US"/>
        </w:rPr>
        <w:t xml:space="preserve"> with Redirection</w:t>
      </w:r>
      <w:r>
        <w:rPr>
          <w:noProof/>
          <w:lang w:val="en-US"/>
        </w:rPr>
        <w:t xml:space="preserve"> </w:t>
      </w:r>
      <w:r w:rsidR="00164937">
        <w:rPr>
          <w:noProof/>
          <w:lang w:val="en-US"/>
        </w:rPr>
        <w:t>can</w:t>
      </w:r>
      <w:r>
        <w:rPr>
          <w:noProof/>
          <w:lang w:val="en-US"/>
        </w:rPr>
        <w:t xml:space="preserve"> result in an attacker sending UEs to other cells. </w:t>
      </w:r>
      <w:r w:rsidR="00164937">
        <w:rPr>
          <w:noProof/>
          <w:lang w:val="en-US"/>
        </w:rPr>
        <w:t xml:space="preserve">The </w:t>
      </w:r>
      <w:r w:rsidRPr="0084415C">
        <w:rPr>
          <w:i/>
          <w:noProof/>
          <w:lang w:val="en-US"/>
        </w:rPr>
        <w:t>RRCConnectionRelease</w:t>
      </w:r>
      <w:r>
        <w:rPr>
          <w:noProof/>
          <w:lang w:val="en-US"/>
        </w:rPr>
        <w:t xml:space="preserve"> needs to be performed in a secured manner, to redirect the UE to any other band for load balancing or access type for different network reasons. The redirection in LTE </w:t>
      </w:r>
      <w:r w:rsidR="000640B0">
        <w:rPr>
          <w:noProof/>
          <w:lang w:val="en-US"/>
        </w:rPr>
        <w:t>was</w:t>
      </w:r>
      <w:r w:rsidR="00164937">
        <w:rPr>
          <w:noProof/>
          <w:lang w:val="en-US"/>
        </w:rPr>
        <w:t xml:space="preserve"> </w:t>
      </w:r>
      <w:r>
        <w:rPr>
          <w:noProof/>
          <w:lang w:val="en-US"/>
        </w:rPr>
        <w:t xml:space="preserve">not secured </w:t>
      </w:r>
      <w:r w:rsidR="000640B0">
        <w:rPr>
          <w:noProof/>
          <w:lang w:val="en-US"/>
        </w:rPr>
        <w:t xml:space="preserve">initially </w:t>
      </w:r>
      <w:r>
        <w:rPr>
          <w:noProof/>
          <w:lang w:val="en-US"/>
        </w:rPr>
        <w:t>and many attacks have been reported from the field. SA3/RAN2/CT1 worked on a solution for securing the redirect command</w:t>
      </w:r>
      <w:r w:rsidR="000640B0">
        <w:rPr>
          <w:noProof/>
          <w:lang w:val="en-US"/>
        </w:rPr>
        <w:t xml:space="preserve"> recently</w:t>
      </w:r>
      <w:r>
        <w:rPr>
          <w:noProof/>
          <w:lang w:val="en-US"/>
        </w:rPr>
        <w:t>.</w:t>
      </w:r>
    </w:p>
    <w:p w:rsidR="00021324" w:rsidRDefault="00021324" w:rsidP="00021324">
      <w:pPr>
        <w:rPr>
          <w:noProof/>
          <w:lang w:val="en-US"/>
        </w:rPr>
      </w:pPr>
      <w:r>
        <w:rPr>
          <w:noProof/>
          <w:lang w:val="en-US"/>
        </w:rPr>
        <w:t>In some situations the redirection decision need</w:t>
      </w:r>
      <w:r w:rsidR="00164937">
        <w:rPr>
          <w:noProof/>
          <w:lang w:val="en-US"/>
        </w:rPr>
        <w:t>s</w:t>
      </w:r>
      <w:r>
        <w:rPr>
          <w:noProof/>
          <w:lang w:val="en-US"/>
        </w:rPr>
        <w:t xml:space="preserve"> to be made based on the UE capability information, which is not available at the AMF. Hence </w:t>
      </w:r>
      <w:r w:rsidR="00164937">
        <w:rPr>
          <w:noProof/>
          <w:lang w:val="en-US"/>
        </w:rPr>
        <w:t xml:space="preserve">the </w:t>
      </w:r>
      <w:r>
        <w:rPr>
          <w:noProof/>
          <w:lang w:val="en-US"/>
        </w:rPr>
        <w:t>AMF need</w:t>
      </w:r>
      <w:r w:rsidR="00164937">
        <w:rPr>
          <w:noProof/>
          <w:lang w:val="en-US"/>
        </w:rPr>
        <w:t>s</w:t>
      </w:r>
      <w:r>
        <w:rPr>
          <w:noProof/>
          <w:lang w:val="en-US"/>
        </w:rPr>
        <w:t xml:space="preserve"> to instruct the </w:t>
      </w:r>
      <w:r w:rsidR="00164937">
        <w:rPr>
          <w:noProof/>
          <w:lang w:val="en-US"/>
        </w:rPr>
        <w:t>NG-</w:t>
      </w:r>
      <w:r>
        <w:rPr>
          <w:noProof/>
          <w:lang w:val="en-US"/>
        </w:rPr>
        <w:t xml:space="preserve">RAN node to </w:t>
      </w:r>
      <w:r w:rsidR="00164937">
        <w:rPr>
          <w:noProof/>
          <w:lang w:val="en-US"/>
        </w:rPr>
        <w:t>perform</w:t>
      </w:r>
      <w:r>
        <w:rPr>
          <w:noProof/>
          <w:lang w:val="en-US"/>
        </w:rPr>
        <w:t xml:space="preserve"> a secure UE capability enquiry procedure and then based on the information, </w:t>
      </w:r>
      <w:r w:rsidR="00164937">
        <w:rPr>
          <w:noProof/>
          <w:lang w:val="en-US"/>
        </w:rPr>
        <w:t xml:space="preserve">the </w:t>
      </w:r>
      <w:r>
        <w:rPr>
          <w:noProof/>
          <w:lang w:val="en-US"/>
        </w:rPr>
        <w:t>redirection command need</w:t>
      </w:r>
      <w:r w:rsidR="00164937">
        <w:rPr>
          <w:noProof/>
          <w:lang w:val="en-US"/>
        </w:rPr>
        <w:t>s</w:t>
      </w:r>
      <w:r>
        <w:rPr>
          <w:noProof/>
          <w:lang w:val="en-US"/>
        </w:rPr>
        <w:t xml:space="preserve"> to be issued. Currently in LTE this exchange between UE and eNB is also not secured.</w:t>
      </w:r>
    </w:p>
    <w:p w:rsidR="00021324" w:rsidRDefault="00021324" w:rsidP="00021324">
      <w:r>
        <w:t xml:space="preserve">There are scenarios where </w:t>
      </w:r>
      <w:r w:rsidR="00164937">
        <w:t xml:space="preserve">the </w:t>
      </w:r>
      <w:r>
        <w:t>AMF may want to redirect the UE (for example emergency services fallback case where</w:t>
      </w:r>
      <w:r w:rsidR="00164937">
        <w:t xml:space="preserve"> the</w:t>
      </w:r>
      <w:r>
        <w:t xml:space="preserve"> AMF will receive the service request from </w:t>
      </w:r>
      <w:r w:rsidR="00164937">
        <w:t xml:space="preserve">the </w:t>
      </w:r>
      <w:r>
        <w:t>UE and decide to redirect)</w:t>
      </w:r>
      <w:r w:rsidR="00164937">
        <w:t>.</w:t>
      </w:r>
      <w:r>
        <w:t xml:space="preserve"> In addition, there are also scenarios where the NG-RAN may want to do the redirection at the end of the registration</w:t>
      </w:r>
      <w:r w:rsidR="00164937">
        <w:t>.</w:t>
      </w:r>
      <w:r>
        <w:t xml:space="preserve"> </w:t>
      </w:r>
      <w:r w:rsidR="00164937">
        <w:t>In t</w:t>
      </w:r>
      <w:r>
        <w:t>his case</w:t>
      </w:r>
      <w:r w:rsidR="00164937">
        <w:t>,</w:t>
      </w:r>
      <w:r>
        <w:t xml:space="preserve"> only </w:t>
      </w:r>
      <w:r w:rsidR="00164937">
        <w:t xml:space="preserve">the </w:t>
      </w:r>
      <w:r>
        <w:t xml:space="preserve">gNB can see radio capabilities of </w:t>
      </w:r>
      <w:r w:rsidR="00164937">
        <w:t xml:space="preserve">the </w:t>
      </w:r>
      <w:r>
        <w:t xml:space="preserve">UE and detect that </w:t>
      </w:r>
      <w:r w:rsidR="00164937">
        <w:t xml:space="preserve">the </w:t>
      </w:r>
      <w:r>
        <w:t xml:space="preserve">UE should rather be sent camping on another band; then </w:t>
      </w:r>
      <w:r w:rsidR="00164937">
        <w:t xml:space="preserve">the </w:t>
      </w:r>
      <w:r>
        <w:t>gNB will decide by itself the need to redirect to another band at the end of the registration.</w:t>
      </w:r>
    </w:p>
    <w:p w:rsidR="00021324" w:rsidRPr="00021324" w:rsidRDefault="00021324" w:rsidP="00021324">
      <w:pPr>
        <w:pStyle w:val="ListParagraph"/>
        <w:numPr>
          <w:ilvl w:val="0"/>
          <w:numId w:val="13"/>
        </w:numPr>
        <w:rPr>
          <w:b/>
        </w:rPr>
      </w:pPr>
      <w:r w:rsidRPr="00021324">
        <w:rPr>
          <w:b/>
          <w:u w:val="single"/>
        </w:rPr>
        <w:t>UE capability enquiry:</w:t>
      </w:r>
    </w:p>
    <w:p w:rsidR="00021324" w:rsidRDefault="00164937" w:rsidP="00021324">
      <w:r>
        <w:lastRenderedPageBreak/>
        <w:t xml:space="preserve">The </w:t>
      </w:r>
      <w:r w:rsidR="00021324">
        <w:t xml:space="preserve">AMF may need to </w:t>
      </w:r>
      <w:r>
        <w:t>request</w:t>
      </w:r>
      <w:r w:rsidR="00021324">
        <w:t xml:space="preserve"> the </w:t>
      </w:r>
      <w:r>
        <w:t xml:space="preserve">UE radio </w:t>
      </w:r>
      <w:r w:rsidR="00021324">
        <w:t xml:space="preserve">capabilities with initial context setup; however, </w:t>
      </w:r>
      <w:r>
        <w:t xml:space="preserve">the </w:t>
      </w:r>
      <w:r w:rsidR="00021324">
        <w:t xml:space="preserve">AMF may also need to get the </w:t>
      </w:r>
      <w:r>
        <w:t xml:space="preserve">UE </w:t>
      </w:r>
      <w:r w:rsidR="00021324">
        <w:t xml:space="preserve">radio capabilities before this step in order to be able to send the “IMS VoPS supported” to the UE; so we will also likely need to secure the UE Capability Enquiry as part of an </w:t>
      </w:r>
      <w:r w:rsidR="00987ADE">
        <w:t xml:space="preserve">NGAP </w:t>
      </w:r>
      <w:r w:rsidR="00021324">
        <w:t xml:space="preserve">UE Radio </w:t>
      </w:r>
      <w:r>
        <w:t>C</w:t>
      </w:r>
      <w:r w:rsidR="00021324">
        <w:t xml:space="preserve">apability </w:t>
      </w:r>
      <w:r>
        <w:t>M</w:t>
      </w:r>
      <w:r w:rsidR="00021324">
        <w:t xml:space="preserve">atch </w:t>
      </w:r>
      <w:r>
        <w:t>R</w:t>
      </w:r>
      <w:r w:rsidR="00021324">
        <w:t xml:space="preserve">equest procedure. In either case, </w:t>
      </w:r>
      <w:r>
        <w:t xml:space="preserve">the </w:t>
      </w:r>
      <w:r w:rsidR="00021324">
        <w:t>UE capability enquiry must be performed in a secure manner.</w:t>
      </w:r>
    </w:p>
    <w:p w:rsidR="00021324" w:rsidRPr="00021324" w:rsidRDefault="00021324" w:rsidP="00021324">
      <w:pPr>
        <w:pStyle w:val="ListParagraph"/>
        <w:numPr>
          <w:ilvl w:val="0"/>
          <w:numId w:val="13"/>
        </w:numPr>
        <w:rPr>
          <w:b/>
          <w:noProof/>
          <w:u w:val="single"/>
          <w:lang w:val="en-US"/>
        </w:rPr>
      </w:pPr>
      <w:r w:rsidRPr="00021324">
        <w:rPr>
          <w:b/>
          <w:noProof/>
          <w:u w:val="single"/>
          <w:lang w:val="en-US"/>
        </w:rPr>
        <w:t xml:space="preserve">SA3 </w:t>
      </w:r>
      <w:r w:rsidR="00987ADE">
        <w:rPr>
          <w:b/>
          <w:noProof/>
          <w:u w:val="single"/>
          <w:lang w:val="en-US"/>
        </w:rPr>
        <w:t>LS to SA2</w:t>
      </w:r>
    </w:p>
    <w:p w:rsidR="00987ADE" w:rsidRPr="00E30441" w:rsidRDefault="00987ADE" w:rsidP="00021324">
      <w:pPr>
        <w:rPr>
          <w:noProof/>
          <w:lang w:val="en-US"/>
        </w:rPr>
      </w:pPr>
      <w:r w:rsidRPr="00E30441">
        <w:rPr>
          <w:noProof/>
          <w:lang w:val="en-US"/>
        </w:rPr>
        <w:t>Agreed SA3 CR (S3-172524) during SA3#88BIS states the following:</w:t>
      </w:r>
    </w:p>
    <w:p w:rsidR="00021324" w:rsidRPr="00CD178B" w:rsidRDefault="00021324" w:rsidP="00E30441">
      <w:pPr>
        <w:ind w:left="284"/>
        <w:rPr>
          <w:i/>
          <w:color w:val="FF0000"/>
        </w:rPr>
      </w:pPr>
      <w:r w:rsidRPr="00CD178B">
        <w:rPr>
          <w:i/>
          <w:color w:val="FF0000"/>
        </w:rPr>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rsidR="00021324" w:rsidRDefault="00021324" w:rsidP="00E30441">
      <w:pPr>
        <w:spacing w:after="0"/>
      </w:pPr>
      <w:r w:rsidRPr="00987ADE">
        <w:t xml:space="preserve">During SA3 Conference call (eMeeting held recently), they have </w:t>
      </w:r>
      <w:r w:rsidR="00987ADE">
        <w:t xml:space="preserve">also </w:t>
      </w:r>
      <w:r w:rsidRPr="00987ADE">
        <w:t xml:space="preserve">agreed to LS out in </w:t>
      </w:r>
      <w:hyperlink r:id="rId7" w:history="1">
        <w:r w:rsidR="000640B0" w:rsidRPr="00E30441">
          <w:rPr>
            <w:b/>
            <w:bCs/>
            <w:color w:val="0000FF"/>
            <w:u w:val="single"/>
            <w:lang w:val="en-US" w:bidi="ml-IN"/>
          </w:rPr>
          <w:t>S3c0011</w:t>
        </w:r>
      </w:hyperlink>
      <w:r w:rsidR="00987ADE">
        <w:t xml:space="preserve"> </w:t>
      </w:r>
      <w:r>
        <w:t xml:space="preserve">that refers to 2 solution options: </w:t>
      </w:r>
    </w:p>
    <w:p w:rsidR="00021324" w:rsidRPr="00E91990" w:rsidRDefault="00021324" w:rsidP="00021324">
      <w:pPr>
        <w:pStyle w:val="CRCoverPage"/>
        <w:spacing w:after="0"/>
        <w:rPr>
          <w:rFonts w:ascii="Times New Roman" w:hAnsi="Times New Roman"/>
          <w:i/>
        </w:rPr>
      </w:pPr>
    </w:p>
    <w:p w:rsidR="00021324" w:rsidRPr="00E91990" w:rsidRDefault="00021324" w:rsidP="00E30441">
      <w:pPr>
        <w:pStyle w:val="CRCoverPage"/>
        <w:numPr>
          <w:ilvl w:val="0"/>
          <w:numId w:val="12"/>
        </w:numPr>
        <w:spacing w:after="0"/>
        <w:ind w:left="644"/>
        <w:rPr>
          <w:rFonts w:ascii="Times New Roman" w:hAnsi="Times New Roman"/>
          <w:i/>
        </w:rPr>
      </w:pPr>
      <w:r w:rsidRPr="00E91990">
        <w:rPr>
          <w:rFonts w:ascii="Times New Roman" w:hAnsi="Times New Roman"/>
          <w:i/>
        </w:rPr>
        <w:t>Solution 1: Calculate a NAS key from the NAS context and further calculate an integrity key at the eNB using this key to protect the redirection parameters. The solution is described in the attachment S3-17c0006.</w:t>
      </w:r>
    </w:p>
    <w:p w:rsidR="00021324" w:rsidRPr="00E91990" w:rsidRDefault="00021324" w:rsidP="00E30441">
      <w:pPr>
        <w:pStyle w:val="CRCoverPage"/>
        <w:spacing w:after="0"/>
        <w:ind w:left="644"/>
        <w:rPr>
          <w:rFonts w:ascii="Times New Roman" w:hAnsi="Times New Roman"/>
          <w:i/>
        </w:rPr>
      </w:pPr>
    </w:p>
    <w:p w:rsidR="00021324" w:rsidRPr="00E91990" w:rsidRDefault="00021324" w:rsidP="00E30441">
      <w:pPr>
        <w:pStyle w:val="CRCoverPage"/>
        <w:numPr>
          <w:ilvl w:val="0"/>
          <w:numId w:val="12"/>
        </w:numPr>
        <w:spacing w:after="0"/>
        <w:ind w:left="644"/>
        <w:rPr>
          <w:rFonts w:ascii="Times New Roman" w:hAnsi="Times New Roman"/>
          <w:i/>
        </w:rPr>
      </w:pPr>
      <w:r w:rsidRPr="00E91990">
        <w:rPr>
          <w:rFonts w:ascii="Times New Roman" w:hAnsi="Times New Roman"/>
          <w:i/>
        </w:rPr>
        <w:t>Solution 2: Establish regular AS context between the UE and the eNB and then issue the secured redirect command to the UE.</w:t>
      </w:r>
    </w:p>
    <w:p w:rsidR="00021324" w:rsidRPr="00F56786" w:rsidRDefault="00021324" w:rsidP="00021324">
      <w:pPr>
        <w:pStyle w:val="CRCoverPage"/>
        <w:spacing w:after="0"/>
        <w:ind w:left="420"/>
        <w:rPr>
          <w:rFonts w:ascii="Times New Roman" w:hAnsi="Times New Roman"/>
        </w:rPr>
      </w:pPr>
    </w:p>
    <w:p w:rsidR="00021324" w:rsidRPr="00F56786" w:rsidRDefault="00021324">
      <w:pPr>
        <w:pStyle w:val="CRCoverPage"/>
        <w:spacing w:after="0"/>
        <w:ind w:left="60"/>
        <w:rPr>
          <w:rFonts w:ascii="Times New Roman" w:hAnsi="Times New Roman"/>
        </w:rPr>
      </w:pPr>
      <w:r>
        <w:rPr>
          <w:rFonts w:ascii="Times New Roman" w:hAnsi="Times New Roman"/>
        </w:rPr>
        <w:t>Depending on their agreement,</w:t>
      </w:r>
      <w:r w:rsidRPr="00F56786">
        <w:rPr>
          <w:rFonts w:ascii="Times New Roman" w:hAnsi="Times New Roman"/>
        </w:rPr>
        <w:t xml:space="preserve"> </w:t>
      </w:r>
      <w:r w:rsidR="00987ADE">
        <w:rPr>
          <w:rFonts w:ascii="Times New Roman" w:hAnsi="Times New Roman"/>
        </w:rPr>
        <w:t xml:space="preserve">we believe that </w:t>
      </w:r>
      <w:r w:rsidRPr="00F56786">
        <w:rPr>
          <w:rFonts w:ascii="Times New Roman" w:hAnsi="Times New Roman"/>
        </w:rPr>
        <w:t>solution should be adopted also for 5GS to avoid insecure redirection.</w:t>
      </w:r>
    </w:p>
    <w:p w:rsidR="00021324" w:rsidRDefault="00021324" w:rsidP="00CD4C7B"/>
    <w:p w:rsidR="00E20732" w:rsidRDefault="00021324" w:rsidP="00CD4C7B">
      <w:r>
        <w:t>Thus, i</w:t>
      </w:r>
      <w:r w:rsidR="005514F2">
        <w:t xml:space="preserve">n order to avoid a non-backwards compatible change next quarter when working on SA </w:t>
      </w:r>
      <w:r w:rsidR="00D13AC5">
        <w:t xml:space="preserve">version of </w:t>
      </w:r>
      <w:r w:rsidR="005514F2">
        <w:t xml:space="preserve">F1AP, we propose to make the F1AP NSA version </w:t>
      </w:r>
      <w:r w:rsidR="00D13AC5">
        <w:t xml:space="preserve">forward compatible by setting the list of DRBs optional </w:t>
      </w:r>
      <w:r w:rsidR="008310EA">
        <w:t xml:space="preserve">instead of mandatory </w:t>
      </w:r>
      <w:r w:rsidR="00D13AC5">
        <w:t xml:space="preserve">in the F1AP UE Context </w:t>
      </w:r>
      <w:r w:rsidR="00164937">
        <w:t>S</w:t>
      </w:r>
      <w:r w:rsidR="00D13AC5">
        <w:t xml:space="preserve">etup </w:t>
      </w:r>
      <w:bookmarkStart w:id="2" w:name="_GoBack"/>
      <w:bookmarkEnd w:id="2"/>
      <w:r w:rsidR="00D13AC5">
        <w:t>procedure</w:t>
      </w:r>
      <w:r w:rsidR="00527DF5">
        <w:t xml:space="preserve"> before the </w:t>
      </w:r>
      <w:r w:rsidR="00973F77">
        <w:t xml:space="preserve">ASN.1 freeze for </w:t>
      </w:r>
      <w:r w:rsidR="00527DF5">
        <w:t>NSA at this meeting</w:t>
      </w:r>
      <w:r w:rsidR="00D13AC5">
        <w:t>.</w:t>
      </w:r>
    </w:p>
    <w:p w:rsidR="008310EA" w:rsidRDefault="008310EA" w:rsidP="00CD4C7B">
      <w:r>
        <w:t>The change is straightforward as shown here-below</w:t>
      </w:r>
      <w:r w:rsidR="00973F77">
        <w:t>, together with some clarification text for EN-DC operation as proposed in the CR [1]</w:t>
      </w:r>
      <w:r>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310EA" w:rsidRPr="005F58F9" w:rsidTr="000227D7">
        <w:tc>
          <w:tcPr>
            <w:tcW w:w="2394" w:type="dxa"/>
          </w:tcPr>
          <w:p w:rsidR="008310EA" w:rsidRPr="005F58F9" w:rsidRDefault="008310EA" w:rsidP="000227D7">
            <w:pPr>
              <w:keepNext/>
              <w:keepLines/>
              <w:spacing w:after="0"/>
              <w:rPr>
                <w:rFonts w:ascii="Arial" w:hAnsi="Arial"/>
                <w:b/>
                <w:sz w:val="18"/>
              </w:rPr>
            </w:pPr>
            <w:r w:rsidRPr="005F58F9">
              <w:rPr>
                <w:rFonts w:ascii="Arial" w:hAnsi="Arial"/>
                <w:b/>
                <w:sz w:val="18"/>
              </w:rPr>
              <w:t>SRB to Be Setup List</w:t>
            </w:r>
          </w:p>
        </w:tc>
        <w:tc>
          <w:tcPr>
            <w:tcW w:w="1260" w:type="dxa"/>
          </w:tcPr>
          <w:p w:rsidR="008310EA" w:rsidRPr="005F58F9" w:rsidRDefault="008310EA" w:rsidP="000227D7">
            <w:pPr>
              <w:keepNext/>
              <w:keepLines/>
              <w:spacing w:after="0"/>
              <w:rPr>
                <w:rFonts w:ascii="Arial" w:hAnsi="Arial"/>
                <w:sz w:val="18"/>
                <w:lang w:eastAsia="zh-CN"/>
              </w:rPr>
            </w:pPr>
          </w:p>
        </w:tc>
        <w:tc>
          <w:tcPr>
            <w:tcW w:w="1247" w:type="dxa"/>
          </w:tcPr>
          <w:p w:rsidR="008310EA" w:rsidRPr="005F58F9" w:rsidRDefault="008310EA" w:rsidP="000227D7">
            <w:pPr>
              <w:keepNext/>
              <w:keepLines/>
              <w:spacing w:after="0"/>
              <w:rPr>
                <w:rFonts w:ascii="Arial" w:hAnsi="Arial"/>
                <w:i/>
                <w:sz w:val="18"/>
              </w:rPr>
            </w:pPr>
            <w:r w:rsidRPr="005F58F9">
              <w:rPr>
                <w:rFonts w:ascii="Arial" w:hAnsi="Arial"/>
                <w:i/>
                <w:sz w:val="18"/>
              </w:rPr>
              <w:t>0..1</w:t>
            </w:r>
          </w:p>
        </w:tc>
        <w:tc>
          <w:tcPr>
            <w:tcW w:w="1260" w:type="dxa"/>
          </w:tcPr>
          <w:p w:rsidR="008310EA" w:rsidRPr="005F58F9" w:rsidRDefault="008310EA" w:rsidP="000227D7">
            <w:pPr>
              <w:keepNext/>
              <w:keepLines/>
              <w:spacing w:after="0"/>
              <w:rPr>
                <w:rFonts w:ascii="Arial" w:hAnsi="Arial"/>
                <w:sz w:val="18"/>
              </w:rPr>
            </w:pPr>
          </w:p>
        </w:tc>
        <w:tc>
          <w:tcPr>
            <w:tcW w:w="1762" w:type="dxa"/>
          </w:tcPr>
          <w:p w:rsidR="008310EA" w:rsidRPr="005F58F9" w:rsidRDefault="008310EA" w:rsidP="000227D7">
            <w:pPr>
              <w:keepNext/>
              <w:keepLines/>
              <w:spacing w:after="0"/>
              <w:rPr>
                <w:rFonts w:ascii="Arial" w:hAnsi="Arial"/>
                <w:sz w:val="18"/>
              </w:rPr>
            </w:pPr>
          </w:p>
        </w:tc>
        <w:tc>
          <w:tcPr>
            <w:tcW w:w="1288" w:type="dxa"/>
          </w:tcPr>
          <w:p w:rsidR="008310EA" w:rsidRPr="005F58F9" w:rsidRDefault="008310EA" w:rsidP="000227D7">
            <w:pPr>
              <w:keepNext/>
              <w:keepLines/>
              <w:spacing w:after="0"/>
              <w:jc w:val="center"/>
              <w:rPr>
                <w:rFonts w:ascii="Arial" w:hAnsi="Arial"/>
                <w:sz w:val="18"/>
              </w:rPr>
            </w:pPr>
          </w:p>
        </w:tc>
        <w:tc>
          <w:tcPr>
            <w:tcW w:w="1274" w:type="dxa"/>
          </w:tcPr>
          <w:p w:rsidR="008310EA" w:rsidRPr="005F58F9" w:rsidRDefault="008310EA" w:rsidP="000227D7">
            <w:pPr>
              <w:keepNext/>
              <w:keepLines/>
              <w:spacing w:after="0"/>
              <w:jc w:val="center"/>
              <w:rPr>
                <w:rFonts w:ascii="Arial" w:hAnsi="Arial"/>
                <w:sz w:val="18"/>
              </w:rPr>
            </w:pPr>
          </w:p>
        </w:tc>
      </w:tr>
      <w:tr w:rsidR="008310EA" w:rsidRPr="005F58F9" w:rsidTr="000227D7">
        <w:tc>
          <w:tcPr>
            <w:tcW w:w="2394" w:type="dxa"/>
          </w:tcPr>
          <w:p w:rsidR="008310EA" w:rsidRPr="005F58F9" w:rsidRDefault="008310EA" w:rsidP="000227D7">
            <w:pPr>
              <w:keepNext/>
              <w:keepLines/>
              <w:spacing w:after="0"/>
              <w:ind w:left="113"/>
              <w:rPr>
                <w:rFonts w:ascii="Arial" w:hAnsi="Arial"/>
                <w:b/>
                <w:sz w:val="18"/>
              </w:rPr>
            </w:pPr>
            <w:r w:rsidRPr="005F58F9">
              <w:rPr>
                <w:rFonts w:ascii="Arial" w:hAnsi="Arial"/>
                <w:b/>
                <w:sz w:val="18"/>
              </w:rPr>
              <w:t>&gt;SRB to Be Setup Item IEs</w:t>
            </w:r>
          </w:p>
        </w:tc>
        <w:tc>
          <w:tcPr>
            <w:tcW w:w="1260" w:type="dxa"/>
          </w:tcPr>
          <w:p w:rsidR="008310EA" w:rsidRPr="005F58F9" w:rsidRDefault="008310EA" w:rsidP="000227D7">
            <w:pPr>
              <w:keepNext/>
              <w:keepLines/>
              <w:spacing w:after="0"/>
              <w:rPr>
                <w:rFonts w:ascii="Arial" w:hAnsi="Arial"/>
                <w:sz w:val="18"/>
                <w:lang w:eastAsia="zh-CN"/>
              </w:rPr>
            </w:pPr>
          </w:p>
        </w:tc>
        <w:tc>
          <w:tcPr>
            <w:tcW w:w="1247" w:type="dxa"/>
          </w:tcPr>
          <w:p w:rsidR="008310EA" w:rsidRPr="005F58F9" w:rsidRDefault="008310EA" w:rsidP="000227D7">
            <w:pPr>
              <w:keepNext/>
              <w:keepLines/>
              <w:spacing w:after="0"/>
              <w:rPr>
                <w:rFonts w:ascii="Arial" w:hAnsi="Arial"/>
                <w:i/>
                <w:sz w:val="18"/>
              </w:rPr>
            </w:pPr>
            <w:r w:rsidRPr="005F58F9">
              <w:rPr>
                <w:rFonts w:ascii="Arial" w:hAnsi="Arial"/>
                <w:i/>
                <w:sz w:val="18"/>
              </w:rPr>
              <w:t>1 .. &lt;maxnoofSRBs&gt;]</w:t>
            </w:r>
          </w:p>
        </w:tc>
        <w:tc>
          <w:tcPr>
            <w:tcW w:w="1260" w:type="dxa"/>
          </w:tcPr>
          <w:p w:rsidR="008310EA" w:rsidRPr="005F58F9" w:rsidRDefault="008310EA" w:rsidP="000227D7">
            <w:pPr>
              <w:keepNext/>
              <w:keepLines/>
              <w:spacing w:after="0"/>
              <w:rPr>
                <w:rFonts w:ascii="Arial" w:hAnsi="Arial"/>
                <w:sz w:val="18"/>
              </w:rPr>
            </w:pPr>
          </w:p>
        </w:tc>
        <w:tc>
          <w:tcPr>
            <w:tcW w:w="1762" w:type="dxa"/>
          </w:tcPr>
          <w:p w:rsidR="008310EA" w:rsidRPr="005F58F9" w:rsidRDefault="008310EA" w:rsidP="000227D7">
            <w:pPr>
              <w:keepNext/>
              <w:keepLines/>
              <w:spacing w:after="0"/>
              <w:rPr>
                <w:rFonts w:ascii="Arial" w:hAnsi="Arial"/>
                <w:sz w:val="18"/>
              </w:rPr>
            </w:pPr>
          </w:p>
        </w:tc>
        <w:tc>
          <w:tcPr>
            <w:tcW w:w="1288" w:type="dxa"/>
          </w:tcPr>
          <w:p w:rsidR="008310EA" w:rsidRPr="005F58F9" w:rsidRDefault="008310EA" w:rsidP="000227D7">
            <w:pPr>
              <w:keepNext/>
              <w:keepLines/>
              <w:spacing w:after="0"/>
              <w:jc w:val="center"/>
              <w:rPr>
                <w:rFonts w:ascii="Arial" w:hAnsi="Arial"/>
                <w:sz w:val="18"/>
              </w:rPr>
            </w:pPr>
          </w:p>
        </w:tc>
        <w:tc>
          <w:tcPr>
            <w:tcW w:w="1274" w:type="dxa"/>
          </w:tcPr>
          <w:p w:rsidR="008310EA" w:rsidRPr="005F58F9" w:rsidRDefault="008310EA" w:rsidP="000227D7">
            <w:pPr>
              <w:keepNext/>
              <w:keepLines/>
              <w:spacing w:after="0"/>
              <w:jc w:val="center"/>
              <w:rPr>
                <w:rFonts w:ascii="Arial" w:hAnsi="Arial"/>
                <w:sz w:val="18"/>
              </w:rPr>
            </w:pPr>
          </w:p>
        </w:tc>
      </w:tr>
      <w:tr w:rsidR="008310EA" w:rsidRPr="005F58F9" w:rsidTr="000227D7">
        <w:tc>
          <w:tcPr>
            <w:tcW w:w="2394" w:type="dxa"/>
          </w:tcPr>
          <w:p w:rsidR="008310EA" w:rsidRPr="005F58F9" w:rsidRDefault="008310EA" w:rsidP="000227D7">
            <w:pPr>
              <w:keepNext/>
              <w:keepLines/>
              <w:spacing w:after="0"/>
              <w:ind w:leftChars="127" w:left="254"/>
              <w:rPr>
                <w:rFonts w:ascii="Arial" w:hAnsi="Arial"/>
                <w:sz w:val="18"/>
              </w:rPr>
            </w:pPr>
            <w:r w:rsidRPr="005F58F9">
              <w:rPr>
                <w:rFonts w:ascii="Arial" w:hAnsi="Arial"/>
                <w:sz w:val="18"/>
              </w:rPr>
              <w:t>&gt;SRB ID</w:t>
            </w:r>
          </w:p>
        </w:tc>
        <w:tc>
          <w:tcPr>
            <w:tcW w:w="1260" w:type="dxa"/>
          </w:tcPr>
          <w:p w:rsidR="008310EA" w:rsidRPr="005F58F9" w:rsidRDefault="008310EA" w:rsidP="000227D7">
            <w:pPr>
              <w:keepNext/>
              <w:keepLines/>
              <w:spacing w:after="0"/>
              <w:rPr>
                <w:rFonts w:ascii="Arial" w:hAnsi="Arial"/>
                <w:sz w:val="18"/>
                <w:lang w:eastAsia="zh-CN"/>
              </w:rPr>
            </w:pPr>
            <w:r w:rsidRPr="005F58F9">
              <w:rPr>
                <w:rFonts w:ascii="Arial" w:hAnsi="Arial" w:hint="eastAsia"/>
                <w:sz w:val="18"/>
                <w:lang w:eastAsia="zh-CN"/>
              </w:rPr>
              <w:t>M</w:t>
            </w:r>
          </w:p>
        </w:tc>
        <w:tc>
          <w:tcPr>
            <w:tcW w:w="1247" w:type="dxa"/>
          </w:tcPr>
          <w:p w:rsidR="008310EA" w:rsidRPr="005F58F9" w:rsidRDefault="008310EA" w:rsidP="000227D7">
            <w:pPr>
              <w:keepNext/>
              <w:keepLines/>
              <w:spacing w:after="0"/>
              <w:rPr>
                <w:rFonts w:ascii="Arial" w:hAnsi="Arial"/>
                <w:i/>
                <w:sz w:val="18"/>
              </w:rPr>
            </w:pPr>
          </w:p>
        </w:tc>
        <w:tc>
          <w:tcPr>
            <w:tcW w:w="1260" w:type="dxa"/>
          </w:tcPr>
          <w:p w:rsidR="008310EA" w:rsidRPr="005F58F9" w:rsidRDefault="008310EA" w:rsidP="000227D7">
            <w:pPr>
              <w:keepNext/>
              <w:keepLines/>
              <w:spacing w:after="0"/>
              <w:rPr>
                <w:rFonts w:ascii="Arial" w:hAnsi="Arial"/>
                <w:sz w:val="18"/>
              </w:rPr>
            </w:pPr>
            <w:r w:rsidRPr="005F58F9">
              <w:rPr>
                <w:rFonts w:ascii="Arial" w:hAnsi="Arial"/>
                <w:sz w:val="18"/>
              </w:rPr>
              <w:t>9.3.1.7</w:t>
            </w:r>
          </w:p>
        </w:tc>
        <w:tc>
          <w:tcPr>
            <w:tcW w:w="1762" w:type="dxa"/>
          </w:tcPr>
          <w:p w:rsidR="008310EA" w:rsidRPr="005F58F9" w:rsidRDefault="008310EA" w:rsidP="000227D7">
            <w:pPr>
              <w:keepNext/>
              <w:keepLines/>
              <w:spacing w:after="0"/>
              <w:rPr>
                <w:rFonts w:ascii="Arial" w:hAnsi="Arial"/>
                <w:sz w:val="18"/>
              </w:rPr>
            </w:pPr>
          </w:p>
        </w:tc>
        <w:tc>
          <w:tcPr>
            <w:tcW w:w="1288" w:type="dxa"/>
          </w:tcPr>
          <w:p w:rsidR="008310EA" w:rsidRPr="005F58F9" w:rsidRDefault="008310EA" w:rsidP="000227D7">
            <w:pPr>
              <w:keepNext/>
              <w:keepLines/>
              <w:spacing w:after="0"/>
              <w:jc w:val="center"/>
              <w:rPr>
                <w:rFonts w:ascii="Arial" w:hAnsi="Arial"/>
                <w:sz w:val="18"/>
              </w:rPr>
            </w:pPr>
          </w:p>
        </w:tc>
        <w:tc>
          <w:tcPr>
            <w:tcW w:w="1274" w:type="dxa"/>
          </w:tcPr>
          <w:p w:rsidR="008310EA" w:rsidRPr="005F58F9" w:rsidRDefault="008310EA" w:rsidP="000227D7">
            <w:pPr>
              <w:keepNext/>
              <w:keepLines/>
              <w:spacing w:after="0"/>
              <w:jc w:val="center"/>
              <w:rPr>
                <w:rFonts w:ascii="Arial" w:hAnsi="Arial"/>
                <w:sz w:val="18"/>
              </w:rPr>
            </w:pPr>
          </w:p>
        </w:tc>
      </w:tr>
      <w:tr w:rsidR="008310EA" w:rsidRPr="005F58F9" w:rsidTr="000227D7">
        <w:tc>
          <w:tcPr>
            <w:tcW w:w="2394" w:type="dxa"/>
          </w:tcPr>
          <w:p w:rsidR="008310EA" w:rsidRPr="005F58F9" w:rsidRDefault="008310EA" w:rsidP="000227D7">
            <w:pPr>
              <w:keepNext/>
              <w:keepLines/>
              <w:spacing w:after="0"/>
              <w:rPr>
                <w:rFonts w:ascii="Arial" w:eastAsia="ＭＳ 明朝" w:hAnsi="Arial"/>
                <w:b/>
                <w:sz w:val="18"/>
              </w:rPr>
            </w:pPr>
            <w:r w:rsidRPr="005F58F9">
              <w:rPr>
                <w:rFonts w:ascii="Arial" w:hAnsi="Arial"/>
                <w:b/>
                <w:sz w:val="18"/>
              </w:rPr>
              <w:t>DRB to Be Setup List</w:t>
            </w:r>
          </w:p>
        </w:tc>
        <w:tc>
          <w:tcPr>
            <w:tcW w:w="1260" w:type="dxa"/>
          </w:tcPr>
          <w:p w:rsidR="008310EA" w:rsidRPr="005F58F9" w:rsidRDefault="008310EA" w:rsidP="000227D7">
            <w:pPr>
              <w:keepNext/>
              <w:keepLines/>
              <w:spacing w:after="0"/>
              <w:rPr>
                <w:rFonts w:ascii="Arial" w:hAnsi="Arial"/>
                <w:sz w:val="18"/>
                <w:lang w:eastAsia="zh-CN"/>
              </w:rPr>
            </w:pPr>
          </w:p>
        </w:tc>
        <w:tc>
          <w:tcPr>
            <w:tcW w:w="1247" w:type="dxa"/>
          </w:tcPr>
          <w:p w:rsidR="008310EA" w:rsidRPr="005F58F9" w:rsidRDefault="008310EA" w:rsidP="000227D7">
            <w:pPr>
              <w:keepNext/>
              <w:keepLines/>
              <w:spacing w:after="0"/>
              <w:rPr>
                <w:rFonts w:ascii="Arial" w:hAnsi="Arial"/>
                <w:i/>
                <w:sz w:val="18"/>
              </w:rPr>
            </w:pPr>
            <w:r w:rsidRPr="00987ADE">
              <w:rPr>
                <w:rFonts w:ascii="Arial" w:hAnsi="Arial"/>
                <w:i/>
                <w:iCs/>
                <w:color w:val="FF0000"/>
                <w:sz w:val="18"/>
                <w:u w:val="single"/>
              </w:rPr>
              <w:t>0..</w:t>
            </w:r>
            <w:r w:rsidRPr="005F58F9">
              <w:rPr>
                <w:rFonts w:ascii="Arial" w:hAnsi="Arial"/>
                <w:i/>
                <w:iCs/>
                <w:sz w:val="18"/>
              </w:rPr>
              <w:t>1</w:t>
            </w:r>
          </w:p>
        </w:tc>
        <w:tc>
          <w:tcPr>
            <w:tcW w:w="1260" w:type="dxa"/>
          </w:tcPr>
          <w:p w:rsidR="008310EA" w:rsidRPr="005F58F9" w:rsidRDefault="008310EA" w:rsidP="000227D7">
            <w:pPr>
              <w:keepLines/>
              <w:spacing w:after="240"/>
              <w:rPr>
                <w:rFonts w:ascii="Arial" w:hAnsi="Arial"/>
              </w:rPr>
            </w:pPr>
          </w:p>
        </w:tc>
        <w:tc>
          <w:tcPr>
            <w:tcW w:w="1762" w:type="dxa"/>
          </w:tcPr>
          <w:p w:rsidR="008310EA" w:rsidRPr="005F58F9" w:rsidRDefault="008310EA" w:rsidP="000227D7">
            <w:pPr>
              <w:keepLines/>
              <w:spacing w:after="240"/>
              <w:rPr>
                <w:rFonts w:ascii="Arial" w:hAnsi="Arial"/>
              </w:rPr>
            </w:pPr>
          </w:p>
        </w:tc>
        <w:tc>
          <w:tcPr>
            <w:tcW w:w="1288" w:type="dxa"/>
          </w:tcPr>
          <w:p w:rsidR="008310EA" w:rsidRPr="005F58F9" w:rsidRDefault="008310EA" w:rsidP="000227D7">
            <w:pPr>
              <w:keepNext/>
              <w:keepLines/>
              <w:spacing w:after="0"/>
              <w:jc w:val="center"/>
              <w:rPr>
                <w:rFonts w:ascii="Arial" w:eastAsia="ＭＳ 明朝" w:hAnsi="Arial"/>
                <w:sz w:val="18"/>
              </w:rPr>
            </w:pPr>
            <w:r w:rsidRPr="005F58F9">
              <w:rPr>
                <w:rFonts w:ascii="Arial" w:eastAsia="ＭＳ 明朝" w:hAnsi="Arial"/>
                <w:sz w:val="18"/>
              </w:rPr>
              <w:t>YES</w:t>
            </w:r>
          </w:p>
        </w:tc>
        <w:tc>
          <w:tcPr>
            <w:tcW w:w="1274" w:type="dxa"/>
          </w:tcPr>
          <w:p w:rsidR="008310EA" w:rsidRPr="005F58F9" w:rsidRDefault="008310EA" w:rsidP="000227D7">
            <w:pPr>
              <w:keepNext/>
              <w:keepLines/>
              <w:spacing w:after="0"/>
              <w:jc w:val="center"/>
              <w:rPr>
                <w:rFonts w:ascii="Arial" w:hAnsi="Arial"/>
                <w:sz w:val="18"/>
              </w:rPr>
            </w:pPr>
            <w:r w:rsidRPr="005F58F9">
              <w:rPr>
                <w:rFonts w:ascii="Arial" w:hAnsi="Arial"/>
                <w:sz w:val="18"/>
              </w:rPr>
              <w:t>reject</w:t>
            </w:r>
          </w:p>
        </w:tc>
      </w:tr>
    </w:tbl>
    <w:p w:rsidR="008310EA" w:rsidRDefault="008310EA" w:rsidP="00CD4C7B"/>
    <w:p w:rsidR="00973F77" w:rsidRDefault="00973F77" w:rsidP="00973F77">
      <w:r>
        <w:rPr>
          <w:b/>
        </w:rPr>
        <w:t>Proposal</w:t>
      </w:r>
      <w:r>
        <w:t>: Change the list of DRBs from mandatory to optional to avoid doing this non-backwards compatible change next quarter as proposed in the CR [1] to the TS 38.473.</w:t>
      </w:r>
    </w:p>
    <w:p w:rsidR="009C4BCB" w:rsidRDefault="009C4BCB" w:rsidP="00CD4C7B"/>
    <w:p w:rsidR="00F72517" w:rsidRPr="006E13D1" w:rsidRDefault="00673F56" w:rsidP="00F72517">
      <w:pPr>
        <w:pStyle w:val="Heading1"/>
      </w:pPr>
      <w:r>
        <w:t>3</w:t>
      </w:r>
      <w:r w:rsidR="00F72517" w:rsidRPr="006E13D1">
        <w:tab/>
      </w:r>
      <w:r w:rsidR="00DB6619">
        <w:t>Conclus</w:t>
      </w:r>
      <w:r w:rsidR="00F72517">
        <w:t>ion</w:t>
      </w:r>
      <w:r w:rsidR="00EA1896">
        <w:t xml:space="preserve"> and Proposal</w:t>
      </w:r>
    </w:p>
    <w:p w:rsidR="008310EA" w:rsidRPr="008310EA" w:rsidRDefault="008310EA" w:rsidP="00673F56">
      <w:r w:rsidRPr="008310EA">
        <w:t>This paper has explained why moving the list</w:t>
      </w:r>
      <w:r>
        <w:t xml:space="preserve"> of DRBs from mandatory to optional </w:t>
      </w:r>
      <w:r w:rsidR="00973F77">
        <w:t xml:space="preserve">is important and </w:t>
      </w:r>
      <w:r>
        <w:t>avoids t</w:t>
      </w:r>
      <w:r w:rsidR="00083970">
        <w:t>he</w:t>
      </w:r>
      <w:r>
        <w:t xml:space="preserve"> </w:t>
      </w:r>
      <w:r w:rsidR="00083970">
        <w:t xml:space="preserve">impact of </w:t>
      </w:r>
      <w:r>
        <w:t>implementations next quarter by a non-</w:t>
      </w:r>
      <w:r w:rsidR="00164937">
        <w:t xml:space="preserve">backwards </w:t>
      </w:r>
      <w:r>
        <w:t>compatible change.</w:t>
      </w:r>
    </w:p>
    <w:p w:rsidR="00973F77" w:rsidRDefault="00973F77" w:rsidP="00973F77">
      <w:r>
        <w:rPr>
          <w:b/>
        </w:rPr>
        <w:t>Proposal</w:t>
      </w:r>
      <w:r>
        <w:t>: Change the list of DRBs from mandatory to optional to avoid doing this non-backwards compatible change next quarter as proposed in the CR [1] to the TS 38.473.</w:t>
      </w:r>
    </w:p>
    <w:p w:rsidR="00673F56" w:rsidRDefault="00673F56" w:rsidP="00F72517">
      <w:pPr>
        <w:rPr>
          <w:b/>
        </w:rPr>
      </w:pPr>
    </w:p>
    <w:p w:rsidR="00973F77" w:rsidRPr="006E13D1" w:rsidRDefault="00973F77" w:rsidP="00973F77">
      <w:pPr>
        <w:pStyle w:val="Heading1"/>
      </w:pPr>
      <w:r w:rsidRPr="006E13D1">
        <w:t>References</w:t>
      </w:r>
    </w:p>
    <w:p w:rsidR="00973F77" w:rsidRPr="00502ACC" w:rsidRDefault="00874E10" w:rsidP="00874E10">
      <w:pPr>
        <w:numPr>
          <w:ilvl w:val="0"/>
          <w:numId w:val="4"/>
        </w:numPr>
        <w:overflowPunct w:val="0"/>
        <w:autoSpaceDE w:val="0"/>
        <w:autoSpaceDN w:val="0"/>
        <w:adjustRightInd w:val="0"/>
        <w:textAlignment w:val="baseline"/>
      </w:pPr>
      <w:r>
        <w:t>RP-180493</w:t>
      </w:r>
      <w:r w:rsidR="00973F77" w:rsidRPr="006E13D1">
        <w:t xml:space="preserve">, </w:t>
      </w:r>
      <w:r w:rsidRPr="00874E10">
        <w:rPr>
          <w:i/>
        </w:rPr>
        <w:t>Introduction of EN-DC for NSA NR (baseline CR) plus making DRB optional</w:t>
      </w:r>
      <w:r w:rsidR="00973F77">
        <w:t>, N</w:t>
      </w:r>
      <w:r w:rsidR="00973F77" w:rsidRPr="001D068F">
        <w:t xml:space="preserve">okia, </w:t>
      </w:r>
      <w:r w:rsidR="00973F77">
        <w:t>Nokia</w:t>
      </w:r>
      <w:r w:rsidR="00973F77" w:rsidRPr="001D068F">
        <w:t xml:space="preserve"> Shanghai Bell</w:t>
      </w:r>
      <w:r>
        <w:t xml:space="preserve">, </w:t>
      </w:r>
      <w:r w:rsidR="00DE04CB">
        <w:t xml:space="preserve">SoftBank, </w:t>
      </w:r>
      <w:r>
        <w:t>Samsung</w:t>
      </w:r>
    </w:p>
    <w:p w:rsidR="00021324" w:rsidRDefault="00021324" w:rsidP="00021324">
      <w:pPr>
        <w:pStyle w:val="Heading1"/>
      </w:pPr>
      <w:r>
        <w:lastRenderedPageBreak/>
        <w:t>4</w:t>
      </w:r>
      <w:r w:rsidRPr="006E13D1">
        <w:tab/>
      </w:r>
      <w:r w:rsidRPr="0059144C">
        <w:t>Annex: Reference to</w:t>
      </w:r>
      <w:r>
        <w:t xml:space="preserve"> 5GS stage 2 requirements </w:t>
      </w:r>
      <w:r w:rsidRPr="0059144C">
        <w:t>requiring AS security context</w:t>
      </w:r>
    </w:p>
    <w:p w:rsidR="00021324" w:rsidRDefault="00021324" w:rsidP="00021324">
      <w:r>
        <w:t>There are multiple occurrences where setting AS context is described:</w:t>
      </w:r>
    </w:p>
    <w:p w:rsidR="00021324" w:rsidRPr="0059144C" w:rsidRDefault="00021324" w:rsidP="00021324">
      <w:pPr>
        <w:rPr>
          <w:b/>
          <w:u w:val="single"/>
        </w:rPr>
      </w:pPr>
      <w:r w:rsidRPr="0059144C">
        <w:rPr>
          <w:b/>
          <w:u w:val="single"/>
        </w:rPr>
        <w:t>Reference from TS 23.502:</w:t>
      </w:r>
    </w:p>
    <w:p w:rsidR="00021324" w:rsidRPr="002E5A10" w:rsidRDefault="00021324" w:rsidP="00021324">
      <w:pPr>
        <w:rPr>
          <w:u w:val="single"/>
        </w:rPr>
      </w:pPr>
      <w:r w:rsidRPr="002E5A10">
        <w:rPr>
          <w:u w:val="single"/>
        </w:rPr>
        <w:t xml:space="preserve">Section 5.16.4.1 </w:t>
      </w:r>
    </w:p>
    <w:p w:rsidR="00021324" w:rsidRDefault="00021324" w:rsidP="00021324">
      <w:r>
        <w:rPr>
          <w:lang w:val="x-none"/>
        </w:rPr>
        <w:t>NG</w:t>
      </w:r>
      <w:r>
        <w:rPr>
          <w:lang w:val="en-US"/>
        </w:rPr>
        <w:t>-</w:t>
      </w:r>
      <w:r>
        <w:rPr>
          <w:lang w:val="x-none"/>
        </w:rPr>
        <w:t>RAN trigger</w:t>
      </w:r>
      <w:r>
        <w:rPr>
          <w:lang w:val="x-none" w:eastAsia="zh-CN"/>
        </w:rPr>
        <w:t>s</w:t>
      </w:r>
      <w:r>
        <w:rPr>
          <w:lang w:val="x-none"/>
        </w:rPr>
        <w:t xml:space="preserve"> </w:t>
      </w:r>
      <w:r>
        <w:rPr>
          <w:lang w:val="x-none" w:eastAsia="zh-CN"/>
        </w:rPr>
        <w:t xml:space="preserve">redirection to </w:t>
      </w:r>
      <w:r>
        <w:rPr>
          <w:lang w:val="x-none"/>
        </w:rPr>
        <w:t>EPS</w:t>
      </w:r>
      <w:r>
        <w:rPr>
          <w:lang w:val="en-US"/>
        </w:rPr>
        <w:t xml:space="preserve"> at QoS Flow establishment for IMS Emergency Services (e.g. </w:t>
      </w:r>
      <w:r>
        <w:rPr>
          <w:lang w:val="x-none"/>
        </w:rPr>
        <w:t>voice</w:t>
      </w:r>
      <w:r>
        <w:rPr>
          <w:lang w:val="en-US"/>
        </w:rPr>
        <w:t>)</w:t>
      </w:r>
      <w:r>
        <w:rPr>
          <w:lang w:val="x-none"/>
        </w:rPr>
        <w:t>.</w:t>
      </w:r>
    </w:p>
    <w:p w:rsidR="00021324" w:rsidRPr="002E5A10" w:rsidRDefault="00021324" w:rsidP="00021324">
      <w:pPr>
        <w:rPr>
          <w:u w:val="single"/>
        </w:rPr>
      </w:pPr>
      <w:r w:rsidRPr="002E5A10">
        <w:rPr>
          <w:u w:val="single"/>
        </w:rPr>
        <w:t>Section 5.16.4.11</w:t>
      </w:r>
    </w:p>
    <w:p w:rsidR="00021324" w:rsidRDefault="00021324" w:rsidP="00021324">
      <w:r>
        <w:rPr>
          <w:lang w:val="en-US" w:eastAsia="ja-JP"/>
        </w:rPr>
        <w:t xml:space="preserve">5GC may support the mechanism to direct or redirect the UE either towards E-UTRA </w:t>
      </w:r>
      <w:r>
        <w:rPr>
          <w:lang w:val="en-US"/>
        </w:rPr>
        <w:t xml:space="preserve">connected to 5GC </w:t>
      </w:r>
      <w:r>
        <w:rPr>
          <w:lang w:val="en-US" w:eastAsia="ja-JP"/>
        </w:rPr>
        <w:t>(RAT fallback)</w:t>
      </w:r>
      <w:r>
        <w:rPr>
          <w:lang w:val="en-US"/>
        </w:rPr>
        <w:t xml:space="preserve"> when only NR does not support Emergency Services</w:t>
      </w:r>
      <w:r>
        <w:rPr>
          <w:lang w:val="en-US" w:eastAsia="ja-JP"/>
        </w:rPr>
        <w:t xml:space="preserve"> or towards EPS (</w:t>
      </w:r>
      <w:r>
        <w:rPr>
          <w:lang w:val="en-US"/>
        </w:rPr>
        <w:t>E-UTRAN connected to EPC</w:t>
      </w:r>
      <w:r>
        <w:rPr>
          <w:lang w:val="en-US" w:eastAsia="ja-JP"/>
        </w:rPr>
        <w:t xml:space="preserve"> System fallback) </w:t>
      </w:r>
      <w:r>
        <w:rPr>
          <w:lang w:val="en-US"/>
        </w:rPr>
        <w:t>when the 5GC does not support Emergency Services</w:t>
      </w:r>
    </w:p>
    <w:p w:rsidR="00021324" w:rsidRPr="002E5A10" w:rsidRDefault="00021324" w:rsidP="00021324">
      <w:pPr>
        <w:rPr>
          <w:u w:val="single"/>
        </w:rPr>
      </w:pPr>
      <w:r w:rsidRPr="002E5A10">
        <w:rPr>
          <w:u w:val="single"/>
        </w:rPr>
        <w:t xml:space="preserve">Section </w:t>
      </w:r>
      <w:r>
        <w:rPr>
          <w:u w:val="single"/>
        </w:rPr>
        <w:t>5.17.2.2.2</w:t>
      </w:r>
    </w:p>
    <w:p w:rsidR="00021324" w:rsidRDefault="00021324" w:rsidP="00021324">
      <w:pPr>
        <w:pStyle w:val="B1"/>
        <w:ind w:left="0" w:firstLine="0"/>
        <w:rPr>
          <w:rFonts w:ascii="Calibri" w:hAnsi="Calibri"/>
          <w:color w:val="1F497D"/>
          <w:sz w:val="22"/>
          <w:szCs w:val="22"/>
          <w:lang w:val="en-US"/>
        </w:rPr>
      </w:pPr>
      <w:r>
        <w:rPr>
          <w:lang w:eastAsia="zh-CN"/>
        </w:rPr>
        <w:t xml:space="preserve">Mobility for UEs in single-registration mode “For connected-mode mobility from 5GS to EPS, either inter-system handover or </w:t>
      </w:r>
      <w:r w:rsidRPr="002E5A10">
        <w:rPr>
          <w:lang w:eastAsia="zh-CN"/>
        </w:rPr>
        <w:t>RRC connection release with redirection</w:t>
      </w:r>
      <w:r>
        <w:rPr>
          <w:lang w:eastAsia="zh-CN"/>
        </w:rPr>
        <w:t xml:space="preserve"> to E-UTRAN is performed.</w:t>
      </w:r>
    </w:p>
    <w:p w:rsidR="00021324" w:rsidRPr="0059144C" w:rsidRDefault="00021324" w:rsidP="00021324">
      <w:pPr>
        <w:rPr>
          <w:b/>
          <w:u w:val="single"/>
        </w:rPr>
      </w:pPr>
      <w:r w:rsidRPr="0059144C">
        <w:rPr>
          <w:b/>
          <w:u w:val="single"/>
        </w:rPr>
        <w:t>Reference from TS 23.502:</w:t>
      </w:r>
    </w:p>
    <w:p w:rsidR="00021324" w:rsidRPr="0059144C" w:rsidRDefault="00021324" w:rsidP="00021324">
      <w:pPr>
        <w:rPr>
          <w:u w:val="single"/>
        </w:rPr>
      </w:pPr>
      <w:r w:rsidRPr="0059144C">
        <w:rPr>
          <w:u w:val="single"/>
        </w:rPr>
        <w:t>section 4.2.2.2.2:</w:t>
      </w:r>
    </w:p>
    <w:p w:rsidR="00021324" w:rsidRPr="0059144C" w:rsidRDefault="00021324" w:rsidP="00021324">
      <w:r w:rsidRPr="0059144C">
        <w:t>9c.</w:t>
      </w:r>
      <w:r w:rsidRPr="0059144C">
        <w:tab/>
        <w:t>Upon completion of NAS security function setup, the AMF initiates NGAP procedure as specified in TS 38.413[10]. This is to enable 5G-AN use it for securing procedures with the UE.</w:t>
      </w:r>
    </w:p>
    <w:p w:rsidR="00021324" w:rsidRPr="0059144C" w:rsidRDefault="00021324" w:rsidP="00021324">
      <w:r w:rsidRPr="0059144C">
        <w:t>9d.</w:t>
      </w:r>
      <w:r w:rsidRPr="0059144C">
        <w:tab/>
        <w:t>The 5G-AN stores the security context and acknowledges to the AMF. The 5G-AN uses the security context to protect the messages exchanged with the UE as described in TS 33.501[29].</w:t>
      </w:r>
    </w:p>
    <w:p w:rsidR="00021324" w:rsidRPr="009371B6" w:rsidRDefault="00021324" w:rsidP="00021324">
      <w:pPr>
        <w:rPr>
          <w:b/>
          <w:u w:val="single"/>
          <w:lang w:val="en-US"/>
        </w:rPr>
      </w:pPr>
      <w:r>
        <w:rPr>
          <w:b/>
          <w:u w:val="single"/>
          <w:lang w:val="en-US"/>
        </w:rPr>
        <w:t>Reference</w:t>
      </w:r>
      <w:r w:rsidRPr="009371B6">
        <w:rPr>
          <w:b/>
          <w:u w:val="single"/>
          <w:lang w:val="en-US"/>
        </w:rPr>
        <w:t xml:space="preserve"> from approved S2-181757 for TS 23.502</w:t>
      </w:r>
      <w:r>
        <w:rPr>
          <w:b/>
          <w:u w:val="single"/>
          <w:lang w:val="en-US"/>
        </w:rPr>
        <w:t>:</w:t>
      </w:r>
    </w:p>
    <w:p w:rsidR="00021324" w:rsidRPr="0059144C" w:rsidRDefault="00021324" w:rsidP="00021324">
      <w:pPr>
        <w:rPr>
          <w:u w:val="single"/>
        </w:rPr>
      </w:pPr>
      <w:r w:rsidRPr="0059144C">
        <w:rPr>
          <w:u w:val="single"/>
        </w:rPr>
        <w:t>section 4.13.4.2:</w:t>
      </w:r>
    </w:p>
    <w:p w:rsidR="00021324" w:rsidRPr="0059144C" w:rsidRDefault="00021324" w:rsidP="00021324">
      <w:r w:rsidRPr="0059144C">
        <w:t>4.</w:t>
      </w:r>
      <w:r w:rsidRPr="0059144C">
        <w:tab/>
        <w:t>5GC triggers a request for Emergency services fallback by executing an NG-AP procedure in which it indicates to NG-RAN that this is a fallback for emergency services. When AMF initiates Redirection for UE(s) that have been successfully authenticated, AMF includes the security context in the request to trigger fallback towards NG-RAN.</w:t>
      </w:r>
    </w:p>
    <w:p w:rsidR="00021324" w:rsidRPr="0059144C" w:rsidRDefault="00021324" w:rsidP="00021324">
      <w:pPr>
        <w:pStyle w:val="B1"/>
        <w:ind w:left="0" w:firstLine="0"/>
        <w:rPr>
          <w:rFonts w:ascii="Calibri" w:hAnsi="Calibri"/>
          <w:color w:val="1F497D"/>
          <w:sz w:val="22"/>
          <w:szCs w:val="22"/>
          <w:lang w:val="en-US"/>
        </w:rPr>
      </w:pPr>
    </w:p>
    <w:p w:rsidR="00021324" w:rsidRPr="0059144C" w:rsidRDefault="00021324" w:rsidP="00021324"/>
    <w:p w:rsidR="00021324" w:rsidRPr="000F6036" w:rsidRDefault="00021324" w:rsidP="00021324"/>
    <w:p w:rsidR="00021324" w:rsidRDefault="00021324" w:rsidP="00021324"/>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34F" w:rsidRDefault="00F5434F">
      <w:r>
        <w:separator/>
      </w:r>
    </w:p>
  </w:endnote>
  <w:endnote w:type="continuationSeparator" w:id="0">
    <w:p w:rsidR="00F5434F" w:rsidRDefault="00F5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游ゴシック"/>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34F" w:rsidRDefault="00F5434F">
      <w:r>
        <w:separator/>
      </w:r>
    </w:p>
  </w:footnote>
  <w:footnote w:type="continuationSeparator" w:id="0">
    <w:p w:rsidR="00F5434F" w:rsidRDefault="00F54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41B2E"/>
    <w:multiLevelType w:val="hybridMultilevel"/>
    <w:tmpl w:val="52E46082"/>
    <w:lvl w:ilvl="0" w:tplc="E7960FF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3"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ECF3C22"/>
    <w:multiLevelType w:val="hybridMultilevel"/>
    <w:tmpl w:val="647AF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5"/>
  </w:num>
  <w:num w:numId="8">
    <w:abstractNumId w:val="9"/>
  </w:num>
  <w:num w:numId="9">
    <w:abstractNumId w:val="3"/>
  </w:num>
  <w:num w:numId="10">
    <w:abstractNumId w:val="6"/>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1324"/>
    <w:rsid w:val="00027848"/>
    <w:rsid w:val="00031E12"/>
    <w:rsid w:val="00033397"/>
    <w:rsid w:val="00040095"/>
    <w:rsid w:val="000544B7"/>
    <w:rsid w:val="00062706"/>
    <w:rsid w:val="000640B0"/>
    <w:rsid w:val="0007242F"/>
    <w:rsid w:val="00080512"/>
    <w:rsid w:val="00083970"/>
    <w:rsid w:val="00086957"/>
    <w:rsid w:val="00087780"/>
    <w:rsid w:val="00090468"/>
    <w:rsid w:val="000A0512"/>
    <w:rsid w:val="000A1BA0"/>
    <w:rsid w:val="000A7AC8"/>
    <w:rsid w:val="000B7BCF"/>
    <w:rsid w:val="000C457B"/>
    <w:rsid w:val="000C522B"/>
    <w:rsid w:val="000D06EE"/>
    <w:rsid w:val="000D0C0F"/>
    <w:rsid w:val="000D25D8"/>
    <w:rsid w:val="000D58AB"/>
    <w:rsid w:val="000D7ED8"/>
    <w:rsid w:val="000E184A"/>
    <w:rsid w:val="000E3FDC"/>
    <w:rsid w:val="000E4942"/>
    <w:rsid w:val="000E6D61"/>
    <w:rsid w:val="000F3D73"/>
    <w:rsid w:val="000F6036"/>
    <w:rsid w:val="00100C01"/>
    <w:rsid w:val="00102BBA"/>
    <w:rsid w:val="00105200"/>
    <w:rsid w:val="001069A6"/>
    <w:rsid w:val="00116861"/>
    <w:rsid w:val="001211DA"/>
    <w:rsid w:val="00122641"/>
    <w:rsid w:val="001260CC"/>
    <w:rsid w:val="00133CBE"/>
    <w:rsid w:val="001407E5"/>
    <w:rsid w:val="00145075"/>
    <w:rsid w:val="00154CFD"/>
    <w:rsid w:val="001551AC"/>
    <w:rsid w:val="00161C05"/>
    <w:rsid w:val="001631A3"/>
    <w:rsid w:val="0016460B"/>
    <w:rsid w:val="00164937"/>
    <w:rsid w:val="00172936"/>
    <w:rsid w:val="001741A0"/>
    <w:rsid w:val="00175615"/>
    <w:rsid w:val="00180737"/>
    <w:rsid w:val="00184EFE"/>
    <w:rsid w:val="00193C72"/>
    <w:rsid w:val="00194CD0"/>
    <w:rsid w:val="00197BBA"/>
    <w:rsid w:val="001A4A63"/>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40994"/>
    <w:rsid w:val="00272DB6"/>
    <w:rsid w:val="002747EC"/>
    <w:rsid w:val="00277561"/>
    <w:rsid w:val="002837AC"/>
    <w:rsid w:val="002855BF"/>
    <w:rsid w:val="002936B6"/>
    <w:rsid w:val="00294DF6"/>
    <w:rsid w:val="002A6423"/>
    <w:rsid w:val="002B0B54"/>
    <w:rsid w:val="002B5023"/>
    <w:rsid w:val="002B70F2"/>
    <w:rsid w:val="002D0D45"/>
    <w:rsid w:val="002D78D2"/>
    <w:rsid w:val="002E03D2"/>
    <w:rsid w:val="002E4B80"/>
    <w:rsid w:val="002E5A10"/>
    <w:rsid w:val="002F0D22"/>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2A0D"/>
    <w:rsid w:val="003544E0"/>
    <w:rsid w:val="0035462D"/>
    <w:rsid w:val="00356754"/>
    <w:rsid w:val="00370ABF"/>
    <w:rsid w:val="00371D1E"/>
    <w:rsid w:val="0037601F"/>
    <w:rsid w:val="0038109C"/>
    <w:rsid w:val="003846AD"/>
    <w:rsid w:val="00385730"/>
    <w:rsid w:val="00392827"/>
    <w:rsid w:val="003A1266"/>
    <w:rsid w:val="003A7BF5"/>
    <w:rsid w:val="003B37AD"/>
    <w:rsid w:val="003B40AD"/>
    <w:rsid w:val="003B76F7"/>
    <w:rsid w:val="003C4E37"/>
    <w:rsid w:val="003D4A02"/>
    <w:rsid w:val="003E16BE"/>
    <w:rsid w:val="00401855"/>
    <w:rsid w:val="00405F25"/>
    <w:rsid w:val="0040753A"/>
    <w:rsid w:val="00416367"/>
    <w:rsid w:val="0043154A"/>
    <w:rsid w:val="004525D5"/>
    <w:rsid w:val="00453BF0"/>
    <w:rsid w:val="00470EAA"/>
    <w:rsid w:val="0047586E"/>
    <w:rsid w:val="0047734D"/>
    <w:rsid w:val="00477455"/>
    <w:rsid w:val="0048078E"/>
    <w:rsid w:val="00483695"/>
    <w:rsid w:val="0048581F"/>
    <w:rsid w:val="0049117F"/>
    <w:rsid w:val="0049181B"/>
    <w:rsid w:val="004A111B"/>
    <w:rsid w:val="004B70C5"/>
    <w:rsid w:val="004C2DD6"/>
    <w:rsid w:val="004C3A86"/>
    <w:rsid w:val="004C56FA"/>
    <w:rsid w:val="004C60D3"/>
    <w:rsid w:val="004C664E"/>
    <w:rsid w:val="004D3578"/>
    <w:rsid w:val="004D380D"/>
    <w:rsid w:val="004D403A"/>
    <w:rsid w:val="004E213A"/>
    <w:rsid w:val="004F054A"/>
    <w:rsid w:val="0050162D"/>
    <w:rsid w:val="00501F8D"/>
    <w:rsid w:val="005030FF"/>
    <w:rsid w:val="00503171"/>
    <w:rsid w:val="00506C28"/>
    <w:rsid w:val="00527DF5"/>
    <w:rsid w:val="0053488C"/>
    <w:rsid w:val="00534DA0"/>
    <w:rsid w:val="005353EE"/>
    <w:rsid w:val="00535693"/>
    <w:rsid w:val="00541834"/>
    <w:rsid w:val="00543E6C"/>
    <w:rsid w:val="005445B3"/>
    <w:rsid w:val="0054492D"/>
    <w:rsid w:val="00550947"/>
    <w:rsid w:val="00550FF4"/>
    <w:rsid w:val="0055115E"/>
    <w:rsid w:val="005514F2"/>
    <w:rsid w:val="005548CD"/>
    <w:rsid w:val="00565087"/>
    <w:rsid w:val="00565546"/>
    <w:rsid w:val="0056573F"/>
    <w:rsid w:val="00570BAB"/>
    <w:rsid w:val="00572BD0"/>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4AED"/>
    <w:rsid w:val="00646D99"/>
    <w:rsid w:val="006472DD"/>
    <w:rsid w:val="00652F94"/>
    <w:rsid w:val="00655E0C"/>
    <w:rsid w:val="00656910"/>
    <w:rsid w:val="00666214"/>
    <w:rsid w:val="00672B49"/>
    <w:rsid w:val="00673F56"/>
    <w:rsid w:val="006766E7"/>
    <w:rsid w:val="006865B1"/>
    <w:rsid w:val="006A3F36"/>
    <w:rsid w:val="006A63D2"/>
    <w:rsid w:val="006C5920"/>
    <w:rsid w:val="006C66D8"/>
    <w:rsid w:val="006D1E24"/>
    <w:rsid w:val="006D22AF"/>
    <w:rsid w:val="006D6543"/>
    <w:rsid w:val="006E1417"/>
    <w:rsid w:val="006F1DFC"/>
    <w:rsid w:val="006F6A2C"/>
    <w:rsid w:val="00714A5D"/>
    <w:rsid w:val="007173E9"/>
    <w:rsid w:val="0072563C"/>
    <w:rsid w:val="0072664E"/>
    <w:rsid w:val="007268EF"/>
    <w:rsid w:val="00732349"/>
    <w:rsid w:val="00734A5B"/>
    <w:rsid w:val="0073751F"/>
    <w:rsid w:val="00744E76"/>
    <w:rsid w:val="007468EC"/>
    <w:rsid w:val="00757D40"/>
    <w:rsid w:val="00760F85"/>
    <w:rsid w:val="00764638"/>
    <w:rsid w:val="00781F0F"/>
    <w:rsid w:val="00782770"/>
    <w:rsid w:val="0078727C"/>
    <w:rsid w:val="00787B28"/>
    <w:rsid w:val="007903F6"/>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06D6B"/>
    <w:rsid w:val="00813245"/>
    <w:rsid w:val="00817228"/>
    <w:rsid w:val="00830079"/>
    <w:rsid w:val="008310EA"/>
    <w:rsid w:val="00840C17"/>
    <w:rsid w:val="00841276"/>
    <w:rsid w:val="0084415C"/>
    <w:rsid w:val="00844D47"/>
    <w:rsid w:val="00851075"/>
    <w:rsid w:val="008626D7"/>
    <w:rsid w:val="00862BA2"/>
    <w:rsid w:val="00866047"/>
    <w:rsid w:val="00874E10"/>
    <w:rsid w:val="008768CA"/>
    <w:rsid w:val="00877EF9"/>
    <w:rsid w:val="00880559"/>
    <w:rsid w:val="008807D5"/>
    <w:rsid w:val="0088209C"/>
    <w:rsid w:val="00886910"/>
    <w:rsid w:val="008A05B2"/>
    <w:rsid w:val="008A0841"/>
    <w:rsid w:val="008A1DA5"/>
    <w:rsid w:val="008A24BC"/>
    <w:rsid w:val="008B1C8D"/>
    <w:rsid w:val="008B5306"/>
    <w:rsid w:val="008C4DAE"/>
    <w:rsid w:val="008E4A5A"/>
    <w:rsid w:val="0090271F"/>
    <w:rsid w:val="00902DB9"/>
    <w:rsid w:val="0090466A"/>
    <w:rsid w:val="009071A7"/>
    <w:rsid w:val="009132BF"/>
    <w:rsid w:val="00923C4C"/>
    <w:rsid w:val="009272D6"/>
    <w:rsid w:val="00934879"/>
    <w:rsid w:val="00936071"/>
    <w:rsid w:val="009379C0"/>
    <w:rsid w:val="00940212"/>
    <w:rsid w:val="00942EC2"/>
    <w:rsid w:val="009456F9"/>
    <w:rsid w:val="00946D4C"/>
    <w:rsid w:val="00953095"/>
    <w:rsid w:val="009550EB"/>
    <w:rsid w:val="00955539"/>
    <w:rsid w:val="00961B32"/>
    <w:rsid w:val="00971551"/>
    <w:rsid w:val="00973F77"/>
    <w:rsid w:val="00974BB0"/>
    <w:rsid w:val="0097507F"/>
    <w:rsid w:val="00977931"/>
    <w:rsid w:val="00987ADE"/>
    <w:rsid w:val="00990CFF"/>
    <w:rsid w:val="00992903"/>
    <w:rsid w:val="009A0AF3"/>
    <w:rsid w:val="009A2106"/>
    <w:rsid w:val="009A51BA"/>
    <w:rsid w:val="009B07CD"/>
    <w:rsid w:val="009B264C"/>
    <w:rsid w:val="009C19E9"/>
    <w:rsid w:val="009C4BCB"/>
    <w:rsid w:val="009D1D67"/>
    <w:rsid w:val="009D2D35"/>
    <w:rsid w:val="009D34E9"/>
    <w:rsid w:val="009E3888"/>
    <w:rsid w:val="009F17D1"/>
    <w:rsid w:val="009F1E36"/>
    <w:rsid w:val="00A05607"/>
    <w:rsid w:val="00A07221"/>
    <w:rsid w:val="00A07F6A"/>
    <w:rsid w:val="00A10F02"/>
    <w:rsid w:val="00A122BD"/>
    <w:rsid w:val="00A13E10"/>
    <w:rsid w:val="00A14AFD"/>
    <w:rsid w:val="00A204CA"/>
    <w:rsid w:val="00A211B6"/>
    <w:rsid w:val="00A23607"/>
    <w:rsid w:val="00A237EB"/>
    <w:rsid w:val="00A25676"/>
    <w:rsid w:val="00A53724"/>
    <w:rsid w:val="00A60445"/>
    <w:rsid w:val="00A64968"/>
    <w:rsid w:val="00A82346"/>
    <w:rsid w:val="00A83145"/>
    <w:rsid w:val="00A831E3"/>
    <w:rsid w:val="00A8774F"/>
    <w:rsid w:val="00A9671C"/>
    <w:rsid w:val="00AA1553"/>
    <w:rsid w:val="00AA2568"/>
    <w:rsid w:val="00AB6329"/>
    <w:rsid w:val="00AE59AD"/>
    <w:rsid w:val="00AE6721"/>
    <w:rsid w:val="00AE6F06"/>
    <w:rsid w:val="00AE7243"/>
    <w:rsid w:val="00AE7322"/>
    <w:rsid w:val="00AF13C2"/>
    <w:rsid w:val="00B0277A"/>
    <w:rsid w:val="00B11F3A"/>
    <w:rsid w:val="00B14FFD"/>
    <w:rsid w:val="00B15449"/>
    <w:rsid w:val="00B30333"/>
    <w:rsid w:val="00B47FD1"/>
    <w:rsid w:val="00B516BB"/>
    <w:rsid w:val="00B612B3"/>
    <w:rsid w:val="00B6505B"/>
    <w:rsid w:val="00B72829"/>
    <w:rsid w:val="00B77CBC"/>
    <w:rsid w:val="00B84170"/>
    <w:rsid w:val="00B84659"/>
    <w:rsid w:val="00B92412"/>
    <w:rsid w:val="00B9522A"/>
    <w:rsid w:val="00B959CE"/>
    <w:rsid w:val="00B95CF8"/>
    <w:rsid w:val="00BA12F0"/>
    <w:rsid w:val="00BA5931"/>
    <w:rsid w:val="00BC4371"/>
    <w:rsid w:val="00BC5971"/>
    <w:rsid w:val="00BD703C"/>
    <w:rsid w:val="00BE0812"/>
    <w:rsid w:val="00BE0CC3"/>
    <w:rsid w:val="00BE0FE1"/>
    <w:rsid w:val="00BE63DD"/>
    <w:rsid w:val="00BE7E84"/>
    <w:rsid w:val="00C01C3D"/>
    <w:rsid w:val="00C07F97"/>
    <w:rsid w:val="00C1110C"/>
    <w:rsid w:val="00C12B51"/>
    <w:rsid w:val="00C14363"/>
    <w:rsid w:val="00C20BC3"/>
    <w:rsid w:val="00C2306F"/>
    <w:rsid w:val="00C24650"/>
    <w:rsid w:val="00C33079"/>
    <w:rsid w:val="00C40E85"/>
    <w:rsid w:val="00C46AAD"/>
    <w:rsid w:val="00C5715D"/>
    <w:rsid w:val="00C7331A"/>
    <w:rsid w:val="00C74347"/>
    <w:rsid w:val="00C83A13"/>
    <w:rsid w:val="00C90B1A"/>
    <w:rsid w:val="00C92967"/>
    <w:rsid w:val="00C92A50"/>
    <w:rsid w:val="00C92C57"/>
    <w:rsid w:val="00CA1927"/>
    <w:rsid w:val="00CA3D0C"/>
    <w:rsid w:val="00CA654B"/>
    <w:rsid w:val="00CB0EAB"/>
    <w:rsid w:val="00CB4F59"/>
    <w:rsid w:val="00CC15C7"/>
    <w:rsid w:val="00CC3976"/>
    <w:rsid w:val="00CC6E7E"/>
    <w:rsid w:val="00CD4C7B"/>
    <w:rsid w:val="00CF0AAE"/>
    <w:rsid w:val="00CF0C19"/>
    <w:rsid w:val="00CF280C"/>
    <w:rsid w:val="00CF375B"/>
    <w:rsid w:val="00CF3CF9"/>
    <w:rsid w:val="00CF54F8"/>
    <w:rsid w:val="00D00565"/>
    <w:rsid w:val="00D006C7"/>
    <w:rsid w:val="00D00F84"/>
    <w:rsid w:val="00D03A65"/>
    <w:rsid w:val="00D053B3"/>
    <w:rsid w:val="00D13AC5"/>
    <w:rsid w:val="00D148BD"/>
    <w:rsid w:val="00D1553B"/>
    <w:rsid w:val="00D40CE2"/>
    <w:rsid w:val="00D44ECE"/>
    <w:rsid w:val="00D52452"/>
    <w:rsid w:val="00D527D8"/>
    <w:rsid w:val="00D60380"/>
    <w:rsid w:val="00D67B5B"/>
    <w:rsid w:val="00D71EAE"/>
    <w:rsid w:val="00D738D6"/>
    <w:rsid w:val="00D80117"/>
    <w:rsid w:val="00D80795"/>
    <w:rsid w:val="00D87E00"/>
    <w:rsid w:val="00D9134D"/>
    <w:rsid w:val="00D96294"/>
    <w:rsid w:val="00D96D11"/>
    <w:rsid w:val="00DA1256"/>
    <w:rsid w:val="00DA7A03"/>
    <w:rsid w:val="00DB0149"/>
    <w:rsid w:val="00DB1818"/>
    <w:rsid w:val="00DB6619"/>
    <w:rsid w:val="00DC309B"/>
    <w:rsid w:val="00DC4DA2"/>
    <w:rsid w:val="00DD5A25"/>
    <w:rsid w:val="00DE04CB"/>
    <w:rsid w:val="00DE27BE"/>
    <w:rsid w:val="00DE5059"/>
    <w:rsid w:val="00E06A7A"/>
    <w:rsid w:val="00E1316A"/>
    <w:rsid w:val="00E13300"/>
    <w:rsid w:val="00E20732"/>
    <w:rsid w:val="00E27376"/>
    <w:rsid w:val="00E30441"/>
    <w:rsid w:val="00E32C08"/>
    <w:rsid w:val="00E3405F"/>
    <w:rsid w:val="00E40D0C"/>
    <w:rsid w:val="00E42D76"/>
    <w:rsid w:val="00E43BA9"/>
    <w:rsid w:val="00E51E45"/>
    <w:rsid w:val="00E51FB1"/>
    <w:rsid w:val="00E53651"/>
    <w:rsid w:val="00E53976"/>
    <w:rsid w:val="00E55243"/>
    <w:rsid w:val="00E61BF3"/>
    <w:rsid w:val="00E62835"/>
    <w:rsid w:val="00E66615"/>
    <w:rsid w:val="00E76F01"/>
    <w:rsid w:val="00E77645"/>
    <w:rsid w:val="00E80FE2"/>
    <w:rsid w:val="00E832C8"/>
    <w:rsid w:val="00E83697"/>
    <w:rsid w:val="00E839C8"/>
    <w:rsid w:val="00E87B43"/>
    <w:rsid w:val="00EA1896"/>
    <w:rsid w:val="00EA4BF6"/>
    <w:rsid w:val="00EA51F3"/>
    <w:rsid w:val="00EB0124"/>
    <w:rsid w:val="00EB14A6"/>
    <w:rsid w:val="00EB2D57"/>
    <w:rsid w:val="00EB4713"/>
    <w:rsid w:val="00EB59E1"/>
    <w:rsid w:val="00EC05E7"/>
    <w:rsid w:val="00EC4A25"/>
    <w:rsid w:val="00ED6196"/>
    <w:rsid w:val="00EE6E55"/>
    <w:rsid w:val="00EE6EC8"/>
    <w:rsid w:val="00EF25D0"/>
    <w:rsid w:val="00EF4A5E"/>
    <w:rsid w:val="00F025A2"/>
    <w:rsid w:val="00F0527D"/>
    <w:rsid w:val="00F0561B"/>
    <w:rsid w:val="00F07388"/>
    <w:rsid w:val="00F1046E"/>
    <w:rsid w:val="00F2026E"/>
    <w:rsid w:val="00F2210A"/>
    <w:rsid w:val="00F33D6C"/>
    <w:rsid w:val="00F37743"/>
    <w:rsid w:val="00F425D6"/>
    <w:rsid w:val="00F42F9F"/>
    <w:rsid w:val="00F47224"/>
    <w:rsid w:val="00F50FD1"/>
    <w:rsid w:val="00F5434F"/>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72C8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ＭＳ 明朝"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ＭＳ 明朝"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basedOn w:val="DefaultParagraphFont"/>
    <w:locked/>
    <w:rsid w:val="002E5A10"/>
  </w:style>
  <w:style w:type="character" w:customStyle="1" w:styleId="CRCoverPageZchn">
    <w:name w:val="CR Cover Page Zchn"/>
    <w:link w:val="CRCoverPage"/>
    <w:locked/>
    <w:rsid w:val="00021324"/>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147720">
      <w:bodyDiv w:val="1"/>
      <w:marLeft w:val="0"/>
      <w:marRight w:val="0"/>
      <w:marTop w:val="0"/>
      <w:marBottom w:val="0"/>
      <w:divBdr>
        <w:top w:val="none" w:sz="0" w:space="0" w:color="auto"/>
        <w:left w:val="none" w:sz="0" w:space="0" w:color="auto"/>
        <w:bottom w:val="none" w:sz="0" w:space="0" w:color="auto"/>
        <w:right w:val="none" w:sz="0" w:space="0" w:color="auto"/>
      </w:divBdr>
    </w:div>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032145155">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46689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WG3_Security/ADHOCs/TSG_S3_LTE_redirection_emeeting/Docs/S3c00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3</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Nokia</cp:lastModifiedBy>
  <cp:revision>4</cp:revision>
  <cp:lastPrinted>2017-03-17T12:10:00Z</cp:lastPrinted>
  <dcterms:created xsi:type="dcterms:W3CDTF">2018-03-16T02:37:00Z</dcterms:created>
  <dcterms:modified xsi:type="dcterms:W3CDTF">2018-03-17T12:16:00Z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